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AF2FE7" w:rsidP="00363843">
      <w:pPr>
        <w:rPr>
          <w:rFonts w:ascii="Arial" w:hAnsi="Arial" w:cs="Arial"/>
          <w:color w:val="645FAA" w:themeColor="accent3"/>
          <w:sz w:val="48"/>
        </w:rPr>
      </w:pPr>
      <w:r>
        <w:rPr>
          <w:rFonts w:ascii="Arial" w:hAnsi="Arial" w:cs="Arial"/>
          <w:noProof/>
          <w:color w:val="645FAA" w:themeColor="accent3"/>
          <w:sz w:val="48"/>
        </w:rPr>
        <w:t>Test 2022</w:t>
      </w:r>
      <w:r>
        <w:rPr>
          <w:rFonts w:ascii="Arial" w:hAnsi="Arial" w:cs="Arial"/>
          <w:color w:val="645FAA" w:themeColor="accent3"/>
          <w:sz w:val="48"/>
        </w:rPr>
        <w:t xml:space="preserve"> Course - July</w:t>
      </w:r>
    </w:p>
    <w:p w:rsidR="00C24DD2" w:rsidP="00363843">
      <w:pPr>
        <w:rPr>
          <w:rFonts w:ascii="Arial" w:hAnsi="Arial" w:cs="Arial"/>
          <w:sz w:val="36"/>
        </w:rPr>
      </w:pPr>
      <w:r>
        <w:rPr>
          <w:rFonts w:ascii="Arial" w:hAnsi="Arial" w:cs="Arial"/>
          <w:noProof/>
          <w:sz w:val="36"/>
        </w:rPr>
        <w:t xml:space="preserve">Wed, </w:t>
      </w:r>
      <w:r>
        <w:rPr>
          <w:rFonts w:ascii="Arial" w:hAnsi="Arial" w:cs="Arial"/>
          <w:sz w:val="36"/>
        </w:rPr>
        <w:t>July 27, 2022</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Wed, </w:t>
      </w:r>
      <w:r w:rsidR="00320760">
        <w:rPr>
          <w:rFonts w:ascii="Arial" w:hAnsi="Arial" w:cs="Arial"/>
          <w:sz w:val="36"/>
        </w:rPr>
        <w:t>July 27, 2022</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8:00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5:00</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Cedars-Sinai Harvey</w:t>
      </w:r>
      <w:r w:rsidRPr="00095034">
        <w:rPr>
          <w:rFonts w:ascii="Arial" w:hAnsi="Arial" w:cs="Arial"/>
          <w:sz w:val="36"/>
        </w:rPr>
        <w:t xml:space="preserve"> Morse Conference Center</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Cedars-Sinai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Halub, MD,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Consultant-Abbott Vascular|Royalties or Patent Beneficiary-Bacchus Vascular, Inc. (Relationship has ended)|Ownership-3M (Relationship has ended)|Executive-CardiaAssist, Inc. - 09/10/2021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P Halub,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Advisor-3F Therapeutics (Relationship has ended)|Ownership-3M - 09/08/2021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Megan Swartz,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B27D1A" w:rsidRPr="007D41E7">
      <w:pPr>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10.50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5C5913" w:rsidP="008803D0">
      <w:pPr>
        <w:rPr>
          <w:rFonts w:ascii="Arial" w:hAnsi="Arial" w:cs="Arial"/>
        </w:rPr>
      </w:pPr>
    </w:p>
    <w:sectPr w:rsidSect="00495619">
      <w:headerReference w:type="even" r:id="rId5"/>
      <w:headerReference w:type="default" r:id="rId6"/>
      <w:footerReference w:type="even" r:id="rId7"/>
      <w:footerReference w:type="default" r:id="rId8"/>
      <w:headerReference w:type="first" r:id="rId9"/>
      <w:footerReference w:type="first" r:id="rId10"/>
      <w:type w:val="continuous"/>
      <w:pgSz w:w="12240" w:h="15840"/>
      <w:pgMar w:top="1354" w:right="565" w:bottom="274" w:left="60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EFC" w:rsidRPr="006870BA" w:rsidP="0068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Pr>
        <w:b/>
        <w:noProof/>
      </w:rPr>
      <w:drawing>
        <wp:anchor distT="0" distB="0" distL="114300" distR="114300" simplePos="0" relativeHeight="251659264" behindDoc="1" locked="0" layoutInCell="1" allowOverlap="1">
          <wp:simplePos x="0" y="0"/>
          <wp:positionH relativeFrom="page">
            <wp:align>right</wp:align>
          </wp:positionH>
          <wp:positionV relativeFrom="paragraph">
            <wp:posOffset>829310</wp:posOffset>
          </wp:positionV>
          <wp:extent cx="7970520" cy="8970645"/>
          <wp:effectExtent l="0" t="0" r="0" b="1905"/>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a:picLocks/>
                  </pic:cNvPicPr>
                </pic:nvPicPr>
                <pic:blipFill rotWithShape="1">
                  <a:blip xmlns:r="http://schemas.openxmlformats.org/officeDocument/2006/relationships" r:embed="rId1">
                    <a:extLst>
                      <a:ext uri="{28A0092B-C50C-407E-A947-70E740481C1C}">
                        <a14:useLocalDpi xmlns:a14="http://schemas.microsoft.com/office/drawing/2010/main" val="0"/>
                      </a:ext>
                    </a:extLst>
                  </a:blip>
                  <a:srcRect t="12364"/>
                  <a:stretch/>
                </pic:blipFill>
                <pic:spPr bwMode="auto">
                  <a:xfrm>
                    <a:off x="0" y="0"/>
                    <a:ext cx="7970520" cy="8970645"/>
                  </a:xfrm>
                  <a:prstGeom prst="rect">
                    <a:avLst/>
                  </a:prstGeom>
                  <a:noFill/>
                </pic:spPr>
              </pic:pic>
            </a:graphicData>
          </a:graphic>
        </wp:anchor>
      </w:drawing>
    </w:r>
    <w:r w:rsidRPr="009B1034">
      <w:rPr>
        <w:b/>
        <w:noProof/>
      </w:rPr>
      <w:drawing>
        <wp:anchor distT="0" distB="0" distL="114300" distR="114300" simplePos="0" relativeHeight="251658240" behindDoc="0" locked="0" layoutInCell="1" allowOverlap="1">
          <wp:simplePos x="0" y="0"/>
          <wp:positionH relativeFrom="column">
            <wp:posOffset>-116840</wp:posOffset>
          </wp:positionH>
          <wp:positionV relativeFrom="paragraph">
            <wp:posOffset>-244475</wp:posOffset>
          </wp:positionV>
          <wp:extent cx="1719234" cy="542620"/>
          <wp:effectExtent l="0" t="0" r="0" b="381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a:blip xmlns:r="http://schemas.openxmlformats.org/officeDocument/2006/relationships" r:embed="rId2"/>
                  <a:stretch>
                    <a:fillRect/>
                  </a:stretch>
                </pic:blipFill>
                <pic:spPr>
                  <a:xfrm>
                    <a:off x="0" y="0"/>
                    <a:ext cx="1719234" cy="542620"/>
                  </a:xfrm>
                  <a:prstGeom prst="rect">
                    <a:avLst/>
                  </a:prstGeom>
                </pic:spPr>
              </pic:pic>
            </a:graphicData>
          </a:graphic>
        </wp:anchor>
      </w:drawing>
    </w:r>
    <w:r>
      <w:rPr>
        <w:b/>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3">
    <w:nsid w:val="79DF2444"/>
    <w:multiLevelType w:val="hybridMultilevel"/>
    <w:tmpl w:val="45FC4664"/>
    <w:lvl w:ilvl="0">
      <w:start w:val="0"/>
      <w:numFmt w:val="bullet"/>
      <w:pStyle w:val="Bullet1"/>
      <w:lvlText w:val="•"/>
      <w:lvlJc w:val="left"/>
      <w:pPr>
        <w:ind w:left="267" w:hanging="150"/>
      </w:pPr>
      <w:rPr>
        <w:rFonts w:ascii="Arial" w:eastAsia="Arial" w:hAnsi="Arial" w:cs="Arial" w:hint="default"/>
        <w:color w:val="DC1E34"/>
        <w:w w:val="100"/>
        <w:sz w:val="20"/>
        <w:szCs w:val="20"/>
      </w:rPr>
    </w:lvl>
    <w:lvl w:ilvl="1">
      <w:start w:val="0"/>
      <w:numFmt w:val="bullet"/>
      <w:pStyle w:val="Bullet2"/>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uiPriority w:val="9"/>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numPr>
        <w:numId w:val="1"/>
      </w:numPr>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9"/>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(5).dotx</Template>
  <TotalTime>93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Halub, Lisa</cp:lastModifiedBy>
  <cp:revision>18</cp:revision>
  <dcterms:created xsi:type="dcterms:W3CDTF">2021-07-22T20:04:00Z</dcterms:created>
  <dcterms:modified xsi:type="dcterms:W3CDTF">2022-02-02T20:30:00Z</dcterms:modified>
</cp:coreProperties>
</file>